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BDD77" w14:textId="77777777" w:rsidR="00A13A15" w:rsidRPr="001E0AAA" w:rsidRDefault="00A13A15" w:rsidP="00A13A15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</w:rPr>
      </w:pPr>
      <w:r w:rsidRPr="001E0AAA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5F1C1058" w14:textId="77777777" w:rsidR="00A13A15" w:rsidRPr="00FA40E2" w:rsidRDefault="00A13A15" w:rsidP="00A13A15">
      <w:pPr>
        <w:spacing w:before="120" w:after="0" w:line="240" w:lineRule="auto"/>
        <w:ind w:right="6"/>
        <w:jc w:val="right"/>
        <w:rPr>
          <w:rFonts w:ascii="Arial Narrow" w:hAnsi="Arial Narrow" w:cs="Arial"/>
          <w:sz w:val="20"/>
          <w:szCs w:val="20"/>
        </w:rPr>
      </w:pPr>
      <w:r w:rsidRPr="00FA40E2">
        <w:rPr>
          <w:rFonts w:ascii="Arial Narrow" w:hAnsi="Arial Narrow" w:cs="Arial"/>
          <w:sz w:val="20"/>
          <w:szCs w:val="20"/>
        </w:rPr>
        <w:t>Ciudad de México, 1 de mayo de 2020</w:t>
      </w:r>
    </w:p>
    <w:p w14:paraId="52ABF24F" w14:textId="77777777" w:rsidR="00A13A15" w:rsidRPr="00FA40E2" w:rsidRDefault="00A13A15" w:rsidP="00A13A15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tbl>
      <w:tblPr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59"/>
        <w:gridCol w:w="8293"/>
      </w:tblGrid>
      <w:tr w:rsidR="00A13A15" w:rsidRPr="001E0AAA" w14:paraId="06F2A5A7" w14:textId="77777777" w:rsidTr="00FA40E2">
        <w:trPr>
          <w:trHeight w:val="407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BA195" w14:textId="77777777" w:rsidR="00A13A15" w:rsidRPr="001E0AAA" w:rsidRDefault="00A13A15" w:rsidP="00FA40E2">
            <w:pPr>
              <w:spacing w:after="0"/>
              <w:jc w:val="center"/>
              <w:rPr>
                <w:rFonts w:ascii="Arial Narrow" w:eastAsia="Arial" w:hAnsi="Arial Narrow" w:cs="Arial"/>
                <w:b/>
              </w:rPr>
            </w:pPr>
            <w:bookmarkStart w:id="0" w:name="_heading=h.2fwazc2qb3nq"/>
            <w:bookmarkStart w:id="1" w:name="_heading=h.j0f27mkibakt"/>
            <w:bookmarkEnd w:id="0"/>
            <w:bookmarkEnd w:id="1"/>
            <w:r w:rsidRPr="001E0AAA">
              <w:rPr>
                <w:rFonts w:ascii="Arial Narrow" w:eastAsia="Arial" w:hAnsi="Arial Narrow" w:cs="Arial"/>
                <w:b/>
              </w:rPr>
              <w:t>Conferencia de Prensa vespertina COVID-19 Secretaría de Salud del Gobierno Federal</w:t>
            </w:r>
          </w:p>
        </w:tc>
      </w:tr>
      <w:tr w:rsidR="00A13A15" w:rsidRPr="001E0AAA" w14:paraId="2EBA140D" w14:textId="77777777" w:rsidTr="008E2AE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A6F3" w14:textId="77777777" w:rsidR="00A13A15" w:rsidRPr="001E0AAA" w:rsidRDefault="00A13A15" w:rsidP="008E2AE9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Fecha: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835B" w14:textId="77777777" w:rsidR="00A13A15" w:rsidRPr="001E0AAA" w:rsidRDefault="00A13A15" w:rsidP="008E2AE9">
            <w:pPr>
              <w:spacing w:line="240" w:lineRule="auto"/>
            </w:pPr>
            <w:r>
              <w:rPr>
                <w:rFonts w:ascii="Arial Narrow" w:eastAsia="Arial" w:hAnsi="Arial Narrow" w:cs="Arial"/>
              </w:rPr>
              <w:t>1 de mayo</w:t>
            </w:r>
            <w:r w:rsidRPr="001E0AAA">
              <w:rPr>
                <w:rFonts w:ascii="Arial Narrow" w:eastAsia="Arial" w:hAnsi="Arial Narrow" w:cs="Arial"/>
              </w:rPr>
              <w:t xml:space="preserve"> de 2020. De 19:00 a 20:00 horas.</w:t>
            </w:r>
          </w:p>
        </w:tc>
      </w:tr>
      <w:tr w:rsidR="00A13A15" w:rsidRPr="001E0AAA" w14:paraId="3141C636" w14:textId="77777777" w:rsidTr="008E2AE9">
        <w:trPr>
          <w:trHeight w:val="263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EFF8" w14:textId="77777777" w:rsidR="00A13A15" w:rsidRPr="001E0AAA" w:rsidRDefault="00A13A15" w:rsidP="008E2AE9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Fuente: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4793" w14:textId="26BAE00D" w:rsidR="00E574F9" w:rsidRDefault="00E574F9" w:rsidP="008E2AE9">
            <w:pPr>
              <w:spacing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Conferencia </w:t>
            </w:r>
            <w:r>
              <w:rPr>
                <w:rFonts w:ascii="Arial Narrow" w:eastAsia="Arial" w:hAnsi="Arial Narrow" w:cs="Arial"/>
              </w:rPr>
              <w:t>matutina Presidencia de México</w:t>
            </w:r>
            <w:r w:rsidRPr="001E0AAA">
              <w:rPr>
                <w:rFonts w:ascii="Arial Narrow" w:eastAsia="Arial" w:hAnsi="Arial Narrow" w:cs="Arial"/>
              </w:rPr>
              <w:t>.</w:t>
            </w:r>
          </w:p>
          <w:p w14:paraId="5485EF7F" w14:textId="24095BE3" w:rsidR="00A13A15" w:rsidRPr="001E0AAA" w:rsidRDefault="00E574F9" w:rsidP="008E2AE9">
            <w:pPr>
              <w:spacing w:line="240" w:lineRule="auto"/>
            </w:pPr>
            <w:r>
              <w:rPr>
                <w:rFonts w:ascii="Arial Narrow" w:eastAsia="Arial" w:hAnsi="Arial Narrow" w:cs="Arial"/>
              </w:rPr>
              <w:t xml:space="preserve">Conferencia vespertina de la </w:t>
            </w:r>
            <w:r w:rsidR="00A13A15" w:rsidRPr="001E0AAA">
              <w:rPr>
                <w:rFonts w:ascii="Arial Narrow" w:eastAsia="Arial" w:hAnsi="Arial Narrow" w:cs="Arial"/>
              </w:rPr>
              <w:t xml:space="preserve">Secretaría de Salud. </w:t>
            </w:r>
            <w:r w:rsidRPr="001E0AAA">
              <w:rPr>
                <w:rFonts w:ascii="Arial Narrow" w:hAnsi="Arial Narrow"/>
              </w:rPr>
              <w:t>Comunicado Técnico Diario. (COVID-19).</w:t>
            </w:r>
          </w:p>
        </w:tc>
      </w:tr>
      <w:tr w:rsidR="00A13A15" w:rsidRPr="001E0AAA" w14:paraId="442F8AC3" w14:textId="77777777" w:rsidTr="008E2AE9">
        <w:trPr>
          <w:trHeight w:val="56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CEBF" w14:textId="77777777" w:rsidR="00A13A15" w:rsidRPr="001E0AAA" w:rsidRDefault="00A13A15" w:rsidP="008E2AE9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Estadísticas actualizadas en México: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5A05" w14:textId="77777777" w:rsidR="00041817" w:rsidRPr="001071C0" w:rsidRDefault="00041817" w:rsidP="00041817">
            <w:pPr>
              <w:spacing w:after="120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1071C0">
              <w:rPr>
                <w:rFonts w:ascii="Arial Narrow" w:eastAsia="Arial" w:hAnsi="Arial Narrow" w:cs="Arial"/>
                <w:b/>
                <w:bCs/>
                <w:u w:val="single"/>
              </w:rPr>
              <w:t>Nivel Mundial:</w:t>
            </w:r>
          </w:p>
          <w:p w14:paraId="7A77231E" w14:textId="77777777" w:rsidR="00041817" w:rsidRDefault="00041817" w:rsidP="00041817">
            <w:pPr>
              <w:spacing w:after="120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1071C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071C0">
              <w:rPr>
                <w:rFonts w:ascii="Arial Narrow" w:eastAsia="Arial" w:hAnsi="Arial Narrow" w:cs="Arial"/>
                <w:bCs/>
              </w:rPr>
              <w:t xml:space="preserve"> de casos confirmados:</w:t>
            </w:r>
            <w:r w:rsidRPr="001071C0">
              <w:rPr>
                <w:rFonts w:ascii="Arial Narrow" w:eastAsia="Arial" w:hAnsi="Arial Narrow" w:cs="Arial"/>
                <w:b/>
              </w:rPr>
              <w:t xml:space="preserve"> 3,</w:t>
            </w:r>
            <w:r w:rsidR="00BC45B7">
              <w:rPr>
                <w:rFonts w:ascii="Arial Narrow" w:eastAsia="Arial" w:hAnsi="Arial Narrow" w:cs="Arial"/>
                <w:b/>
              </w:rPr>
              <w:t>175,207</w:t>
            </w:r>
            <w:r w:rsidRPr="001071C0">
              <w:rPr>
                <w:rFonts w:ascii="Arial Narrow" w:eastAsia="Arial" w:hAnsi="Arial Narrow" w:cs="Arial"/>
                <w:b/>
              </w:rPr>
              <w:t xml:space="preserve"> </w:t>
            </w:r>
            <w:r w:rsidRPr="001071C0">
              <w:rPr>
                <w:rFonts w:ascii="Arial Narrow" w:eastAsia="Arial" w:hAnsi="Arial Narrow" w:cs="Arial"/>
                <w:bCs/>
              </w:rPr>
              <w:t>(</w:t>
            </w:r>
            <w:r w:rsidR="00BC45B7">
              <w:rPr>
                <w:rFonts w:ascii="Arial Narrow" w:eastAsia="Arial" w:hAnsi="Arial Narrow" w:cs="Arial"/>
                <w:bCs/>
              </w:rPr>
              <w:t>84</w:t>
            </w:r>
            <w:r>
              <w:rPr>
                <w:rFonts w:ascii="Arial Narrow" w:eastAsia="Arial" w:hAnsi="Arial Narrow" w:cs="Arial"/>
                <w:bCs/>
              </w:rPr>
              <w:t>,</w:t>
            </w:r>
            <w:r w:rsidR="00BC45B7">
              <w:rPr>
                <w:rFonts w:ascii="Arial Narrow" w:eastAsia="Arial" w:hAnsi="Arial Narrow" w:cs="Arial"/>
                <w:bCs/>
              </w:rPr>
              <w:t>762</w:t>
            </w:r>
            <w:r>
              <w:rPr>
                <w:rFonts w:ascii="Arial Narrow" w:eastAsia="Arial" w:hAnsi="Arial Narrow" w:cs="Arial"/>
                <w:bCs/>
                <w:lang w:val="es-ES_tradnl"/>
              </w:rPr>
              <w:t xml:space="preserve"> nuevos </w:t>
            </w:r>
            <w:r w:rsidRPr="001071C0">
              <w:rPr>
                <w:rFonts w:ascii="Arial Narrow" w:eastAsia="Arial" w:hAnsi="Arial Narrow" w:cs="Arial"/>
                <w:bCs/>
                <w:lang w:val="es-ES_tradnl"/>
              </w:rPr>
              <w:t>casos</w:t>
            </w:r>
            <w:r w:rsidRPr="001071C0">
              <w:rPr>
                <w:rFonts w:ascii="Arial Narrow" w:eastAsia="Arial" w:hAnsi="Arial Narrow" w:cs="Arial"/>
                <w:bCs/>
              </w:rPr>
              <w:t>).</w:t>
            </w:r>
          </w:p>
          <w:p w14:paraId="478B23AB" w14:textId="5197CC09" w:rsidR="00BC45B7" w:rsidRPr="00BA0367" w:rsidRDefault="00BC45B7" w:rsidP="00BC45B7">
            <w:pPr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  <w:bCs/>
              </w:rPr>
              <w:t>C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asos </w:t>
            </w:r>
            <w:r>
              <w:rPr>
                <w:rFonts w:ascii="Arial Narrow" w:eastAsia="Arial" w:hAnsi="Arial Narrow" w:cs="Arial"/>
                <w:bCs/>
              </w:rPr>
              <w:t>ocurrido</w:t>
            </w:r>
            <w:r w:rsidR="00E574F9">
              <w:rPr>
                <w:rFonts w:ascii="Arial Narrow" w:eastAsia="Arial" w:hAnsi="Arial Narrow" w:cs="Arial"/>
                <w:bCs/>
              </w:rPr>
              <w:t>s</w:t>
            </w:r>
            <w:r>
              <w:rPr>
                <w:rFonts w:ascii="Arial Narrow" w:eastAsia="Arial" w:hAnsi="Arial Narrow" w:cs="Arial"/>
                <w:bCs/>
              </w:rPr>
              <w:t xml:space="preserve"> en los últimos 14 días: </w:t>
            </w:r>
            <w:r w:rsidRPr="00BC45B7">
              <w:rPr>
                <w:rFonts w:ascii="Arial Narrow" w:eastAsia="Arial" w:hAnsi="Arial Narrow" w:cs="Arial"/>
                <w:b/>
                <w:bCs/>
              </w:rPr>
              <w:t>1,114,847</w:t>
            </w:r>
            <w:r>
              <w:rPr>
                <w:rFonts w:ascii="Arial Narrow" w:eastAsia="Arial" w:hAnsi="Arial Narrow" w:cs="Arial"/>
                <w:bCs/>
              </w:rPr>
              <w:t xml:space="preserve"> (35% del total)</w:t>
            </w:r>
          </w:p>
          <w:p w14:paraId="3FE4408C" w14:textId="77777777" w:rsidR="00BC45B7" w:rsidRPr="00BA0367" w:rsidRDefault="00BC45B7" w:rsidP="00BC45B7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  <w:bCs/>
              </w:rPr>
              <w:t>T</w:t>
            </w:r>
            <w:r w:rsidRPr="00BA0367">
              <w:rPr>
                <w:rFonts w:ascii="Arial Narrow" w:eastAsia="Arial" w:hAnsi="Arial Narrow" w:cs="Arial"/>
                <w:bCs/>
              </w:rPr>
              <w:t>asa de letalidad global</w:t>
            </w:r>
            <w:r>
              <w:rPr>
                <w:rFonts w:ascii="Arial Narrow" w:eastAsia="Arial" w:hAnsi="Arial Narrow" w:cs="Arial"/>
                <w:bCs/>
              </w:rPr>
              <w:t xml:space="preserve">: </w:t>
            </w:r>
            <w:r>
              <w:rPr>
                <w:rFonts w:ascii="Arial Narrow" w:eastAsia="Arial" w:hAnsi="Arial Narrow" w:cs="Arial"/>
                <w:b/>
              </w:rPr>
              <w:t>7.1</w:t>
            </w:r>
            <w:r w:rsidRPr="00BA0367">
              <w:rPr>
                <w:rFonts w:ascii="Arial Narrow" w:eastAsia="Arial" w:hAnsi="Arial Narrow" w:cs="Arial"/>
                <w:bCs/>
              </w:rPr>
              <w:t>%.</w:t>
            </w:r>
          </w:p>
          <w:p w14:paraId="328D0424" w14:textId="77777777" w:rsidR="00A13A15" w:rsidRDefault="00FD364B" w:rsidP="00E574F9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u w:val="single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4EAAD1FF" wp14:editId="0A46F610">
                  <wp:extent cx="4724400" cy="2409825"/>
                  <wp:effectExtent l="0" t="0" r="0" b="9525"/>
                  <wp:docPr id="1" name="Imagen 1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4A547" w14:textId="77777777" w:rsidR="00041817" w:rsidRPr="00E574F9" w:rsidRDefault="00041817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sz w:val="6"/>
                <w:szCs w:val="6"/>
                <w:u w:val="single"/>
              </w:rPr>
            </w:pPr>
          </w:p>
          <w:p w14:paraId="6CA58A94" w14:textId="77777777" w:rsidR="00A13A15" w:rsidRPr="00BA0367" w:rsidRDefault="00A13A15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BA0367">
              <w:rPr>
                <w:rFonts w:ascii="Arial Narrow" w:eastAsia="Arial" w:hAnsi="Arial Narrow" w:cs="Arial"/>
                <w:b/>
                <w:bCs/>
                <w:u w:val="single"/>
              </w:rPr>
              <w:t>México:</w:t>
            </w:r>
          </w:p>
          <w:p w14:paraId="25C23E49" w14:textId="77777777" w:rsidR="00A13A15" w:rsidRDefault="00A13A15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BA0367">
              <w:rPr>
                <w:rFonts w:ascii="Arial Narrow" w:eastAsia="Arial" w:hAnsi="Arial Narrow" w:cs="Arial"/>
                <w:bCs/>
              </w:rPr>
              <w:t xml:space="preserve">Total de casos confirmados: </w:t>
            </w:r>
            <w:r w:rsidR="00BC45B7" w:rsidRPr="00BC45B7">
              <w:rPr>
                <w:rFonts w:ascii="Arial Narrow" w:eastAsia="Arial" w:hAnsi="Arial Narrow" w:cs="Arial"/>
                <w:b/>
                <w:bCs/>
              </w:rPr>
              <w:t>20,739</w:t>
            </w:r>
            <w:r w:rsidR="00BC45B7">
              <w:rPr>
                <w:rFonts w:ascii="Arial Narrow" w:eastAsia="Arial" w:hAnsi="Arial Narrow" w:cs="Arial"/>
                <w:bCs/>
              </w:rPr>
              <w:t xml:space="preserve"> </w:t>
            </w:r>
            <w:r w:rsidRPr="00BA0367">
              <w:rPr>
                <w:rFonts w:ascii="Arial Narrow" w:eastAsia="Arial" w:hAnsi="Arial Narrow" w:cs="Arial"/>
                <w:bCs/>
              </w:rPr>
              <w:t>(</w:t>
            </w:r>
            <w:r w:rsidR="008C214E">
              <w:rPr>
                <w:rFonts w:ascii="Arial Narrow" w:eastAsia="Arial" w:hAnsi="Arial Narrow" w:cs="Arial"/>
                <w:bCs/>
              </w:rPr>
              <w:t xml:space="preserve">1,515 </w:t>
            </w:r>
            <w:r w:rsidRPr="00BA0367">
              <w:rPr>
                <w:rFonts w:ascii="Arial Narrow" w:eastAsia="Arial" w:hAnsi="Arial Narrow" w:cs="Arial"/>
                <w:bCs/>
              </w:rPr>
              <w:t>+ que ayer).</w:t>
            </w:r>
          </w:p>
          <w:p w14:paraId="27DC4D5D" w14:textId="77777777" w:rsidR="00041817" w:rsidRPr="00BA0367" w:rsidRDefault="00041817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 xml:space="preserve">Total de casos sospechosos: </w:t>
            </w:r>
            <w:r w:rsidR="00BC45B7" w:rsidRPr="00BC45B7">
              <w:rPr>
                <w:rFonts w:ascii="Arial Narrow" w:eastAsia="Arial" w:hAnsi="Arial Narrow" w:cs="Arial"/>
                <w:b/>
                <w:bCs/>
              </w:rPr>
              <w:t>15,446</w:t>
            </w:r>
            <w:r w:rsidR="00BC45B7">
              <w:rPr>
                <w:rFonts w:ascii="Arial Narrow" w:eastAsia="Arial" w:hAnsi="Arial Narrow" w:cs="Arial"/>
                <w:bCs/>
              </w:rPr>
              <w:t xml:space="preserve"> (</w:t>
            </w:r>
            <w:r w:rsidR="00E741B5">
              <w:rPr>
                <w:rFonts w:ascii="Arial Narrow" w:eastAsia="Arial" w:hAnsi="Arial Narrow" w:cs="Arial"/>
                <w:bCs/>
              </w:rPr>
              <w:t>-74</w:t>
            </w:r>
            <w:r w:rsidR="00BC45B7">
              <w:rPr>
                <w:rFonts w:ascii="Arial Narrow" w:eastAsia="Arial" w:hAnsi="Arial Narrow" w:cs="Arial"/>
                <w:bCs/>
              </w:rPr>
              <w:t xml:space="preserve"> </w:t>
            </w:r>
            <w:r w:rsidR="00E741B5">
              <w:rPr>
                <w:rFonts w:ascii="Arial Narrow" w:eastAsia="Arial" w:hAnsi="Arial Narrow" w:cs="Arial"/>
                <w:bCs/>
              </w:rPr>
              <w:t>respecto de</w:t>
            </w:r>
            <w:r w:rsidR="00BC45B7">
              <w:rPr>
                <w:rFonts w:ascii="Arial Narrow" w:eastAsia="Arial" w:hAnsi="Arial Narrow" w:cs="Arial"/>
                <w:bCs/>
              </w:rPr>
              <w:t xml:space="preserve"> ayer).</w:t>
            </w:r>
          </w:p>
          <w:p w14:paraId="4990B044" w14:textId="77777777" w:rsidR="00A13A15" w:rsidRPr="00BA0367" w:rsidRDefault="00A13A15" w:rsidP="008E2AE9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BA0367">
              <w:rPr>
                <w:rFonts w:ascii="Arial Narrow" w:hAnsi="Arial Narrow"/>
              </w:rPr>
              <w:t xml:space="preserve">Total de casos activos: </w:t>
            </w:r>
            <w:r w:rsidR="00BC45B7" w:rsidRPr="00BC45B7">
              <w:rPr>
                <w:rFonts w:ascii="Arial Narrow" w:hAnsi="Arial Narrow"/>
                <w:b/>
              </w:rPr>
              <w:t>6,390</w:t>
            </w:r>
            <w:r w:rsidR="00BC45B7">
              <w:rPr>
                <w:rFonts w:ascii="Arial Narrow" w:hAnsi="Arial Narrow"/>
              </w:rPr>
              <w:t xml:space="preserve"> </w:t>
            </w:r>
            <w:r w:rsidRPr="00BA0367">
              <w:rPr>
                <w:rFonts w:ascii="Arial Narrow" w:hAnsi="Arial Narrow"/>
              </w:rPr>
              <w:t>(</w:t>
            </w:r>
            <w:r w:rsidR="00E741B5">
              <w:rPr>
                <w:rFonts w:ascii="Arial Narrow" w:hAnsi="Arial Narrow"/>
              </w:rPr>
              <w:t>478</w:t>
            </w:r>
            <w:r w:rsidR="00945B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+ que ayer).</w:t>
            </w:r>
          </w:p>
          <w:p w14:paraId="4EC7057B" w14:textId="77777777" w:rsidR="00FD364B" w:rsidRPr="00FD364B" w:rsidRDefault="00A13A15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BA0367">
              <w:rPr>
                <w:rFonts w:ascii="Arial Narrow" w:eastAsia="Arial" w:hAnsi="Arial Narrow" w:cs="Arial"/>
                <w:bCs/>
              </w:rPr>
              <w:t xml:space="preserve">Total de defunciones: </w:t>
            </w:r>
            <w:r w:rsidR="00BC45B7" w:rsidRPr="00BC45B7">
              <w:rPr>
                <w:rFonts w:ascii="Arial Narrow" w:eastAsia="Arial" w:hAnsi="Arial Narrow" w:cs="Arial"/>
                <w:b/>
                <w:bCs/>
              </w:rPr>
              <w:t>1,972</w:t>
            </w:r>
            <w:r w:rsidR="00BC45B7">
              <w:rPr>
                <w:rFonts w:ascii="Arial Narrow" w:eastAsia="Arial" w:hAnsi="Arial Narrow" w:cs="Arial"/>
                <w:bCs/>
              </w:rPr>
              <w:t xml:space="preserve"> </w:t>
            </w:r>
            <w:r w:rsidRPr="00BA0367">
              <w:rPr>
                <w:rFonts w:ascii="Arial Narrow" w:eastAsia="Arial" w:hAnsi="Arial Narrow" w:cs="Arial"/>
                <w:bCs/>
              </w:rPr>
              <w:t>(</w:t>
            </w:r>
            <w:r w:rsidR="00AC2654">
              <w:rPr>
                <w:rFonts w:ascii="Arial Narrow" w:eastAsia="Arial" w:hAnsi="Arial Narrow" w:cs="Arial"/>
                <w:bCs/>
              </w:rPr>
              <w:t xml:space="preserve">120 </w:t>
            </w:r>
            <w:r w:rsidRPr="00BA0367">
              <w:rPr>
                <w:rFonts w:ascii="Arial Narrow" w:eastAsia="Arial" w:hAnsi="Arial Narrow" w:cs="Arial"/>
                <w:bCs/>
              </w:rPr>
              <w:t>+ que ayer).</w:t>
            </w:r>
          </w:p>
          <w:p w14:paraId="4CCABF9B" w14:textId="77777777" w:rsidR="00E574F9" w:rsidRPr="00E574F9" w:rsidRDefault="00E574F9" w:rsidP="00E574F9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sz w:val="6"/>
                <w:szCs w:val="6"/>
                <w:u w:val="single"/>
              </w:rPr>
            </w:pPr>
          </w:p>
          <w:p w14:paraId="442A2549" w14:textId="77777777" w:rsidR="00A13A15" w:rsidRPr="00BA0367" w:rsidRDefault="00A13A15" w:rsidP="008E2AE9">
            <w:pPr>
              <w:spacing w:after="120" w:line="240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BA0367">
              <w:rPr>
                <w:rFonts w:ascii="Arial Narrow" w:hAnsi="Arial Narrow"/>
                <w:b/>
                <w:bCs/>
                <w:u w:val="single"/>
              </w:rPr>
              <w:t>Ciudad de México</w:t>
            </w:r>
          </w:p>
          <w:p w14:paraId="1FE5470D" w14:textId="77777777" w:rsidR="00A13A15" w:rsidRDefault="00A13A15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AB0C89">
              <w:rPr>
                <w:rFonts w:ascii="Arial Narrow" w:eastAsia="Arial" w:hAnsi="Arial Narrow" w:cs="Arial"/>
                <w:bCs/>
              </w:rPr>
              <w:t xml:space="preserve">Total de casos </w:t>
            </w:r>
            <w:r w:rsidR="00AC2654">
              <w:rPr>
                <w:rFonts w:ascii="Arial Narrow" w:eastAsia="Arial" w:hAnsi="Arial Narrow" w:cs="Arial"/>
                <w:bCs/>
              </w:rPr>
              <w:t>positivos</w:t>
            </w:r>
            <w:r w:rsidRPr="00AB0C89">
              <w:rPr>
                <w:rFonts w:ascii="Arial Narrow" w:eastAsia="Arial" w:hAnsi="Arial Narrow" w:cs="Arial"/>
                <w:bCs/>
              </w:rPr>
              <w:t xml:space="preserve">: </w:t>
            </w:r>
            <w:r w:rsidR="00AC2654" w:rsidRPr="00AC2654">
              <w:rPr>
                <w:rFonts w:ascii="Arial Narrow" w:eastAsia="Arial" w:hAnsi="Arial Narrow" w:cs="Arial"/>
                <w:b/>
                <w:bCs/>
              </w:rPr>
              <w:t>5,548</w:t>
            </w:r>
            <w:r w:rsidR="00AC2654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="00AC2654" w:rsidRPr="00BA0367">
              <w:rPr>
                <w:rFonts w:ascii="Arial Narrow" w:hAnsi="Arial Narrow"/>
              </w:rPr>
              <w:t>(</w:t>
            </w:r>
            <w:r w:rsidR="00AC2654">
              <w:rPr>
                <w:rFonts w:ascii="Arial Narrow" w:hAnsi="Arial Narrow"/>
              </w:rPr>
              <w:t>339 + que ayer).</w:t>
            </w:r>
          </w:p>
          <w:p w14:paraId="39E375EB" w14:textId="77777777" w:rsidR="00AC2654" w:rsidRDefault="00AC2654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 xml:space="preserve">Total de defunciones: </w:t>
            </w:r>
            <w:r w:rsidRPr="00AC2654">
              <w:rPr>
                <w:rFonts w:ascii="Arial Narrow" w:eastAsia="Arial" w:hAnsi="Arial Narrow" w:cs="Arial"/>
                <w:b/>
                <w:bCs/>
              </w:rPr>
              <w:t>418</w:t>
            </w:r>
            <w:r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BA0367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9 + que ayer).</w:t>
            </w:r>
          </w:p>
          <w:p w14:paraId="662F9B0D" w14:textId="77777777" w:rsidR="00FD364B" w:rsidRDefault="00FD364B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</w:p>
          <w:p w14:paraId="4B5C2407" w14:textId="77777777" w:rsidR="00FD364B" w:rsidRDefault="00FD364B" w:rsidP="008E2AE9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</w:p>
          <w:p w14:paraId="28DF065F" w14:textId="77777777" w:rsidR="00FD364B" w:rsidRPr="00AB0C89" w:rsidRDefault="00AC2654" w:rsidP="008E2AE9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noProof/>
                <w:lang w:val="es-MX"/>
              </w:rPr>
              <w:lastRenderedPageBreak/>
              <w:drawing>
                <wp:inline distT="0" distB="0" distL="0" distR="0" wp14:anchorId="5F5A6FCB" wp14:editId="2B7FB07D">
                  <wp:extent cx="4676775" cy="2286000"/>
                  <wp:effectExtent l="0" t="0" r="9525" b="0"/>
                  <wp:docPr id="5" name="Imagen 5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43E96" w14:textId="77777777" w:rsidR="00FD364B" w:rsidRDefault="00FD364B" w:rsidP="008E2AE9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México rebasa la barrera de 20,000 casos confirmados acumulados.</w:t>
            </w:r>
          </w:p>
          <w:p w14:paraId="30E1AC54" w14:textId="77777777" w:rsidR="00FD364B" w:rsidRDefault="00AC2654" w:rsidP="008E2AE9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5CA27AE8" wp14:editId="60520BC4">
                  <wp:extent cx="4840830" cy="2381250"/>
                  <wp:effectExtent l="0" t="0" r="0" b="0"/>
                  <wp:docPr id="8" name="Imagen 8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388" cy="238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9CCFF5" w14:textId="77777777" w:rsidR="00A13A15" w:rsidRDefault="00945BFD" w:rsidP="008E2AE9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El Dr. </w:t>
            </w:r>
            <w:r w:rsidR="00A13A15" w:rsidRPr="00783210">
              <w:rPr>
                <w:rFonts w:ascii="Arial Narrow" w:eastAsia="Arial" w:hAnsi="Arial Narrow" w:cs="Arial"/>
              </w:rPr>
              <w:t xml:space="preserve">José Luis </w:t>
            </w:r>
            <w:proofErr w:type="spellStart"/>
            <w:r w:rsidR="00A13A15" w:rsidRPr="00783210">
              <w:rPr>
                <w:rFonts w:ascii="Arial Narrow" w:eastAsia="Arial" w:hAnsi="Arial Narrow" w:cs="Arial"/>
              </w:rPr>
              <w:t>Alomía</w:t>
            </w:r>
            <w:proofErr w:type="spellEnd"/>
            <w:r w:rsidR="00A13A15" w:rsidRPr="00783210">
              <w:rPr>
                <w:rFonts w:ascii="Arial Narrow" w:eastAsia="Arial" w:hAnsi="Arial Narrow" w:cs="Arial"/>
              </w:rPr>
              <w:t>, Director General de Epidemiología, presentó la distribución de los casos confirmados activos por entidad federa</w:t>
            </w:r>
            <w:r w:rsidR="008C214E">
              <w:rPr>
                <w:rFonts w:ascii="Arial Narrow" w:eastAsia="Arial" w:hAnsi="Arial Narrow" w:cs="Arial"/>
              </w:rPr>
              <w:t xml:space="preserve">tiva de residencia; destacan </w:t>
            </w:r>
            <w:r w:rsidR="00A13A15" w:rsidRPr="00783210">
              <w:rPr>
                <w:rFonts w:ascii="Arial Narrow" w:eastAsia="Arial" w:hAnsi="Arial Narrow" w:cs="Arial"/>
              </w:rPr>
              <w:t>CDMX</w:t>
            </w:r>
            <w:r w:rsidR="008C214E">
              <w:rPr>
                <w:rFonts w:ascii="Arial Narrow" w:eastAsia="Arial" w:hAnsi="Arial Narrow" w:cs="Arial"/>
              </w:rPr>
              <w:t>, Estado de México, Baja California, Tabasco, Sinaloa y Quintana Roo, en orden decreciente.</w:t>
            </w:r>
          </w:p>
          <w:p w14:paraId="06E2C1C0" w14:textId="29FE43E3" w:rsidR="00A13A15" w:rsidRPr="00D71DE1" w:rsidRDefault="00D71DE1" w:rsidP="00D71DE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 Dr. López Gatell destacó que los registros recabados al momento revelan que </w:t>
            </w:r>
            <w:r w:rsidRPr="00476F92">
              <w:rPr>
                <w:rFonts w:ascii="Arial Narrow" w:hAnsi="Arial Narrow"/>
              </w:rPr>
              <w:t xml:space="preserve">la pandemia se comporta con intensidad </w:t>
            </w:r>
            <w:r w:rsidR="00E574F9">
              <w:rPr>
                <w:rFonts w:ascii="Arial Narrow" w:hAnsi="Arial Narrow"/>
              </w:rPr>
              <w:t xml:space="preserve">diferenciada </w:t>
            </w:r>
            <w:r w:rsidRPr="00476F92">
              <w:rPr>
                <w:rFonts w:ascii="Arial Narrow" w:hAnsi="Arial Narrow"/>
              </w:rPr>
              <w:t>en distintas zonas del país</w:t>
            </w:r>
            <w:r>
              <w:rPr>
                <w:rFonts w:ascii="Arial Narrow" w:hAnsi="Arial Narrow"/>
              </w:rPr>
              <w:t>, lo que permitirá focalizar esfuerzos sanitarios en las zonas que lo requieran.</w:t>
            </w:r>
            <w:r w:rsidRPr="00476F92">
              <w:rPr>
                <w:rFonts w:ascii="Arial Narrow" w:hAnsi="Arial Narrow"/>
              </w:rPr>
              <w:t xml:space="preserve"> </w:t>
            </w:r>
          </w:p>
        </w:tc>
      </w:tr>
      <w:tr w:rsidR="00A13A15" w:rsidRPr="001E0AAA" w14:paraId="272DFC3D" w14:textId="77777777" w:rsidTr="008E2AE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3487" w14:textId="77777777" w:rsidR="00A13A15" w:rsidRPr="001E0AAA" w:rsidRDefault="00A13A15" w:rsidP="008E2AE9">
            <w:r w:rsidRPr="001E0AAA">
              <w:rPr>
                <w:rFonts w:ascii="Arial Narrow" w:eastAsia="Arial" w:hAnsi="Arial Narrow" w:cs="Arial"/>
                <w:b/>
              </w:rPr>
              <w:lastRenderedPageBreak/>
              <w:t>Anuncios destacados: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0924" w14:textId="77777777" w:rsidR="00A13A15" w:rsidRPr="001E0AAA" w:rsidRDefault="00A13A15" w:rsidP="00FA40E2">
            <w:pPr>
              <w:spacing w:after="120"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bookmarkStart w:id="2" w:name="_heading=h.99mneb1ud1dd"/>
            <w:bookmarkEnd w:id="2"/>
            <w:r w:rsidRPr="001E0AAA">
              <w:rPr>
                <w:rFonts w:ascii="Arial Narrow" w:hAnsi="Arial Narrow"/>
                <w:b/>
                <w:color w:val="14171A"/>
              </w:rPr>
              <w:t>Información derivada de la sesión de preguntas y respuestas</w:t>
            </w:r>
            <w:r w:rsidRPr="001E0AAA">
              <w:rPr>
                <w:rFonts w:ascii="Arial Narrow" w:hAnsi="Arial Narrow"/>
                <w:bCs/>
                <w:color w:val="14171A"/>
              </w:rPr>
              <w:t>:</w:t>
            </w:r>
          </w:p>
          <w:p w14:paraId="69AA8BB5" w14:textId="77777777" w:rsidR="00A13A15" w:rsidRPr="001E0AAA" w:rsidRDefault="00A13A15" w:rsidP="00FA40E2">
            <w:pPr>
              <w:pStyle w:val="Prrafodelista"/>
              <w:numPr>
                <w:ilvl w:val="0"/>
                <w:numId w:val="1"/>
              </w:numPr>
              <w:spacing w:after="120" w:line="276" w:lineRule="auto"/>
              <w:jc w:val="both"/>
              <w:rPr>
                <w:u w:val="single"/>
              </w:rPr>
            </w:pP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 w:rsidR="00E146E4">
              <w:rPr>
                <w:rFonts w:ascii="Arial Narrow" w:hAnsi="Arial Narrow"/>
                <w:bCs/>
                <w:color w:val="14171A"/>
                <w:u w:val="single"/>
              </w:rPr>
              <w:t>6 de mayo, día de más contagios</w:t>
            </w:r>
          </w:p>
          <w:p w14:paraId="4EBE9298" w14:textId="77777777" w:rsidR="00E146E4" w:rsidRPr="00476F92" w:rsidRDefault="00E146E4" w:rsidP="00FA40E2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Pr="00476F92">
              <w:rPr>
                <w:rFonts w:ascii="Arial Narrow" w:hAnsi="Arial Narrow"/>
              </w:rPr>
              <w:t xml:space="preserve">n la conferencia matutina, </w:t>
            </w:r>
            <w:r>
              <w:rPr>
                <w:rFonts w:ascii="Arial Narrow" w:hAnsi="Arial Narrow"/>
              </w:rPr>
              <w:t xml:space="preserve">el presidente </w:t>
            </w:r>
            <w:r w:rsidRPr="00476F92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ndrés Manuel López Obrador</w:t>
            </w:r>
            <w:r w:rsidRPr="00476F92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el Dr. Hugo </w:t>
            </w:r>
            <w:r w:rsidRPr="00476F92">
              <w:rPr>
                <w:rFonts w:ascii="Arial Narrow" w:hAnsi="Arial Narrow"/>
              </w:rPr>
              <w:t xml:space="preserve">López Gatell, </w:t>
            </w:r>
            <w:r>
              <w:rPr>
                <w:rFonts w:ascii="Arial Narrow" w:hAnsi="Arial Narrow"/>
              </w:rPr>
              <w:t>el director general del IMSS, Zoé</w:t>
            </w:r>
            <w:r w:rsidRPr="00476F92">
              <w:rPr>
                <w:rFonts w:ascii="Arial Narrow" w:hAnsi="Arial Narrow"/>
              </w:rPr>
              <w:t xml:space="preserve"> Robledo y </w:t>
            </w:r>
            <w:r>
              <w:rPr>
                <w:rFonts w:ascii="Arial Narrow" w:hAnsi="Arial Narrow"/>
              </w:rPr>
              <w:t xml:space="preserve">la jefa de gobierno de la CDMX, </w:t>
            </w:r>
            <w:r w:rsidRPr="00476F92">
              <w:rPr>
                <w:rFonts w:ascii="Arial Narrow" w:hAnsi="Arial Narrow"/>
              </w:rPr>
              <w:t>Claudia Sheinbaum</w:t>
            </w:r>
            <w:r>
              <w:rPr>
                <w:rFonts w:ascii="Arial Narrow" w:hAnsi="Arial Narrow"/>
              </w:rPr>
              <w:t>,</w:t>
            </w:r>
            <w:r w:rsidRPr="00476F92">
              <w:rPr>
                <w:rFonts w:ascii="Arial Narrow" w:hAnsi="Arial Narrow"/>
              </w:rPr>
              <w:t xml:space="preserve"> compartieron información sobre la situación del COVID-19 en México</w:t>
            </w:r>
            <w:r>
              <w:rPr>
                <w:rFonts w:ascii="Arial Narrow" w:hAnsi="Arial Narrow"/>
              </w:rPr>
              <w:t>. Destacan los siguientes puntos:</w:t>
            </w:r>
          </w:p>
          <w:p w14:paraId="000AA405" w14:textId="77777777" w:rsidR="00E146E4" w:rsidRDefault="00E146E4" w:rsidP="00FA40E2">
            <w:pPr>
              <w:spacing w:after="120"/>
              <w:jc w:val="both"/>
              <w:rPr>
                <w:rFonts w:ascii="Arial Narrow" w:hAnsi="Arial Narrow"/>
              </w:rPr>
            </w:pPr>
            <w:r w:rsidRPr="00476F92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Las proyecciones de la epidemia indican que el 6 de mayo será el momento más crítico de contagios y posteriormente la curva empezará a descender. </w:t>
            </w:r>
          </w:p>
          <w:p w14:paraId="3342FC47" w14:textId="77777777" w:rsidR="00E146E4" w:rsidRPr="00476F92" w:rsidRDefault="00E146E4" w:rsidP="00FA40E2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Las </w:t>
            </w:r>
            <w:r w:rsidRPr="00476F92">
              <w:rPr>
                <w:rFonts w:ascii="Arial Narrow" w:hAnsi="Arial Narrow"/>
              </w:rPr>
              <w:t xml:space="preserve">5 </w:t>
            </w:r>
            <w:r>
              <w:rPr>
                <w:rFonts w:ascii="Arial Narrow" w:hAnsi="Arial Narrow"/>
              </w:rPr>
              <w:t>ciudades más afectada</w:t>
            </w:r>
            <w:r w:rsidRPr="00476F92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son</w:t>
            </w:r>
            <w:r w:rsidRPr="00476F92">
              <w:rPr>
                <w:rFonts w:ascii="Arial Narrow" w:hAnsi="Arial Narrow"/>
              </w:rPr>
              <w:t>: CDMX</w:t>
            </w:r>
            <w:r>
              <w:rPr>
                <w:rFonts w:ascii="Arial Narrow" w:hAnsi="Arial Narrow"/>
              </w:rPr>
              <w:t xml:space="preserve"> (Valle de México)</w:t>
            </w:r>
            <w:r w:rsidRPr="00476F92">
              <w:rPr>
                <w:rFonts w:ascii="Arial Narrow" w:hAnsi="Arial Narrow"/>
              </w:rPr>
              <w:t xml:space="preserve">, Cancún, Tabasco, </w:t>
            </w:r>
            <w:r>
              <w:rPr>
                <w:rFonts w:ascii="Arial Narrow" w:hAnsi="Arial Narrow"/>
              </w:rPr>
              <w:t>Culiacán y Tijuana.</w:t>
            </w:r>
          </w:p>
          <w:p w14:paraId="2BD50CEF" w14:textId="77777777" w:rsidR="00E146E4" w:rsidRDefault="00E146E4" w:rsidP="00FA40E2">
            <w:pPr>
              <w:spacing w:after="120"/>
              <w:jc w:val="both"/>
              <w:rPr>
                <w:rFonts w:ascii="Arial Narrow" w:hAnsi="Arial Narrow"/>
              </w:rPr>
            </w:pPr>
            <w:r w:rsidRPr="00476F92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Las z</w:t>
            </w:r>
            <w:r w:rsidRPr="00476F92">
              <w:rPr>
                <w:rFonts w:ascii="Arial Narrow" w:hAnsi="Arial Narrow"/>
              </w:rPr>
              <w:t>onas metropolitanas de Guadalajara y Monterrey estabilizaron el número de casos</w:t>
            </w:r>
            <w:r>
              <w:rPr>
                <w:rFonts w:ascii="Arial Narrow" w:hAnsi="Arial Narrow"/>
              </w:rPr>
              <w:t>.</w:t>
            </w:r>
          </w:p>
          <w:p w14:paraId="275DE579" w14:textId="77777777" w:rsidR="00E146E4" w:rsidRPr="00436F8A" w:rsidRDefault="00E146E4" w:rsidP="00FA40E2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Se pidió a la ciudadanía ya no acudir a </w:t>
            </w:r>
            <w:r w:rsidRPr="00436F8A">
              <w:rPr>
                <w:rFonts w:ascii="Arial Narrow" w:hAnsi="Arial Narrow"/>
              </w:rPr>
              <w:t>los institutos de salud del sur de la Ciudad de México porque ya están al límite de su capacidad</w:t>
            </w:r>
            <w:r>
              <w:rPr>
                <w:rFonts w:ascii="Arial Narrow" w:hAnsi="Arial Narrow"/>
              </w:rPr>
              <w:t>.</w:t>
            </w:r>
            <w:r w:rsidRPr="00436F8A">
              <w:rPr>
                <w:rFonts w:ascii="Arial Narrow" w:hAnsi="Arial Narrow"/>
              </w:rPr>
              <w:t xml:space="preserve"> </w:t>
            </w:r>
          </w:p>
          <w:p w14:paraId="583912B8" w14:textId="55610191" w:rsidR="00E146E4" w:rsidRPr="00436F8A" w:rsidRDefault="00E146E4" w:rsidP="00FA40E2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E574F9">
              <w:rPr>
                <w:rFonts w:ascii="Arial Narrow" w:hAnsi="Arial Narrow"/>
              </w:rPr>
              <w:t>De ser necesario, s</w:t>
            </w:r>
            <w:r>
              <w:rPr>
                <w:rFonts w:ascii="Arial Narrow" w:hAnsi="Arial Narrow"/>
              </w:rPr>
              <w:t xml:space="preserve">e pidió llamar a </w:t>
            </w:r>
            <w:proofErr w:type="spellStart"/>
            <w:r>
              <w:rPr>
                <w:rFonts w:ascii="Arial Narrow" w:hAnsi="Arial Narrow"/>
              </w:rPr>
              <w:t>L</w:t>
            </w:r>
            <w:r w:rsidRPr="00436F8A">
              <w:rPr>
                <w:rFonts w:ascii="Arial Narrow" w:hAnsi="Arial Narrow"/>
              </w:rPr>
              <w:t>ocatel</w:t>
            </w:r>
            <w:proofErr w:type="spellEnd"/>
            <w:r w:rsidRPr="00436F8A">
              <w:rPr>
                <w:rFonts w:ascii="Arial Narrow" w:hAnsi="Arial Narrow"/>
              </w:rPr>
              <w:t xml:space="preserve"> 56581111 o 911 </w:t>
            </w:r>
            <w:r w:rsidR="00FA40E2">
              <w:rPr>
                <w:rFonts w:ascii="Arial Narrow" w:hAnsi="Arial Narrow"/>
              </w:rPr>
              <w:t xml:space="preserve">tanto </w:t>
            </w:r>
            <w:r w:rsidRPr="00436F8A">
              <w:rPr>
                <w:rFonts w:ascii="Arial Narrow" w:hAnsi="Arial Narrow"/>
              </w:rPr>
              <w:t xml:space="preserve">para tener asesoría de diagnóstico </w:t>
            </w:r>
            <w:r w:rsidR="00FA40E2">
              <w:rPr>
                <w:rFonts w:ascii="Arial Narrow" w:hAnsi="Arial Narrow"/>
              </w:rPr>
              <w:t xml:space="preserve">como </w:t>
            </w:r>
            <w:r w:rsidRPr="00436F8A">
              <w:rPr>
                <w:rFonts w:ascii="Arial Narrow" w:hAnsi="Arial Narrow"/>
              </w:rPr>
              <w:t>para conocer disponibilidad de los hospitales</w:t>
            </w:r>
            <w:r>
              <w:rPr>
                <w:rFonts w:ascii="Arial Narrow" w:hAnsi="Arial Narrow"/>
              </w:rPr>
              <w:t xml:space="preserve"> acondicionados para tratar COVID-19.</w:t>
            </w:r>
          </w:p>
          <w:p w14:paraId="20900CCA" w14:textId="77777777" w:rsidR="00A13A15" w:rsidRPr="001E0AAA" w:rsidRDefault="00A13A15" w:rsidP="00FA40E2">
            <w:pPr>
              <w:pStyle w:val="Prrafodelista"/>
              <w:numPr>
                <w:ilvl w:val="0"/>
                <w:numId w:val="1"/>
              </w:numPr>
              <w:spacing w:after="120" w:line="276" w:lineRule="auto"/>
              <w:jc w:val="both"/>
              <w:rPr>
                <w:u w:val="single"/>
              </w:rPr>
            </w:pP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 xml:space="preserve">Información </w:t>
            </w:r>
            <w:r w:rsidR="00AC2654">
              <w:rPr>
                <w:rFonts w:ascii="Arial Narrow" w:hAnsi="Arial Narrow"/>
                <w:bCs/>
                <w:color w:val="14171A"/>
                <w:u w:val="single"/>
              </w:rPr>
              <w:t xml:space="preserve">de </w:t>
            </w:r>
            <w:r w:rsidR="00A92129">
              <w:rPr>
                <w:rFonts w:ascii="Arial Narrow" w:hAnsi="Arial Narrow"/>
                <w:bCs/>
                <w:color w:val="14171A"/>
                <w:u w:val="single"/>
              </w:rPr>
              <w:t xml:space="preserve">la </w:t>
            </w:r>
            <w:r w:rsidR="00AC2654">
              <w:rPr>
                <w:rFonts w:ascii="Arial Narrow" w:hAnsi="Arial Narrow"/>
                <w:bCs/>
                <w:color w:val="14171A"/>
                <w:u w:val="single"/>
              </w:rPr>
              <w:t>Ciudad de México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>.</w:t>
            </w:r>
          </w:p>
          <w:p w14:paraId="51476318" w14:textId="26952742" w:rsidR="00A13A15" w:rsidRDefault="00D71DE1" w:rsidP="00FA40E2">
            <w:pPr>
              <w:spacing w:after="120"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r>
              <w:rPr>
                <w:rFonts w:ascii="Arial Narrow" w:hAnsi="Arial Narrow"/>
                <w:bCs/>
                <w:color w:val="14171A"/>
              </w:rPr>
              <w:t>En la conferencia vespertina, l</w:t>
            </w:r>
            <w:r w:rsidR="00AC2654">
              <w:rPr>
                <w:rFonts w:ascii="Arial Narrow" w:hAnsi="Arial Narrow"/>
                <w:bCs/>
                <w:color w:val="14171A"/>
              </w:rPr>
              <w:t xml:space="preserve">a Jefa de </w:t>
            </w:r>
            <w:r w:rsidR="00E574F9">
              <w:rPr>
                <w:rFonts w:ascii="Arial Narrow" w:hAnsi="Arial Narrow"/>
                <w:bCs/>
                <w:color w:val="14171A"/>
              </w:rPr>
              <w:t>G</w:t>
            </w:r>
            <w:r w:rsidR="00AC2654">
              <w:rPr>
                <w:rFonts w:ascii="Arial Narrow" w:hAnsi="Arial Narrow"/>
                <w:bCs/>
                <w:color w:val="14171A"/>
              </w:rPr>
              <w:t>obierno</w:t>
            </w:r>
            <w:r w:rsidR="00E574F9">
              <w:rPr>
                <w:rFonts w:ascii="Arial Narrow" w:hAnsi="Arial Narrow"/>
                <w:bCs/>
                <w:color w:val="14171A"/>
              </w:rPr>
              <w:t>, Claudia Sheinbaum</w:t>
            </w:r>
            <w:r w:rsidR="00AC2654">
              <w:rPr>
                <w:rFonts w:ascii="Arial Narrow" w:hAnsi="Arial Narrow"/>
                <w:bCs/>
                <w:color w:val="14171A"/>
              </w:rPr>
              <w:t xml:space="preserve"> </w:t>
            </w:r>
            <w:r>
              <w:rPr>
                <w:rFonts w:ascii="Arial Narrow" w:hAnsi="Arial Narrow"/>
                <w:bCs/>
                <w:color w:val="14171A"/>
              </w:rPr>
              <w:t xml:space="preserve">abundó lo dicho por la mañana y </w:t>
            </w:r>
            <w:r w:rsidR="00AC2654">
              <w:rPr>
                <w:rFonts w:ascii="Arial Narrow" w:hAnsi="Arial Narrow"/>
                <w:bCs/>
                <w:color w:val="14171A"/>
              </w:rPr>
              <w:t>explicó que la Ciudad de México está preparada para las próximas 2 semanas que serán las que registren el mayor número de casos de contagio. Destacó lo siguiente:</w:t>
            </w:r>
          </w:p>
          <w:p w14:paraId="3AB17506" w14:textId="77777777" w:rsidR="00AC2654" w:rsidRPr="00AC2654" w:rsidRDefault="00AC2654" w:rsidP="00FA40E2">
            <w:pPr>
              <w:spacing w:after="120"/>
              <w:rPr>
                <w:rFonts w:ascii="Arial Narrow" w:hAnsi="Arial Narrow"/>
              </w:rPr>
            </w:pPr>
            <w:r w:rsidRPr="00AC2654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="00D122A5">
              <w:rPr>
                <w:rFonts w:ascii="Arial Narrow" w:hAnsi="Arial Narrow"/>
              </w:rPr>
              <w:t>Se ha completado u</w:t>
            </w:r>
            <w:r w:rsidRPr="00AC2654">
              <w:rPr>
                <w:rFonts w:ascii="Arial Narrow" w:hAnsi="Arial Narrow"/>
              </w:rPr>
              <w:t xml:space="preserve">n mes de trabajo coordinado con las instituciones de salud </w:t>
            </w:r>
            <w:r>
              <w:rPr>
                <w:rFonts w:ascii="Arial Narrow" w:hAnsi="Arial Narrow"/>
              </w:rPr>
              <w:t>para atender a 22 millones de personas que viven en el área metropolitana de la CDMX.</w:t>
            </w:r>
          </w:p>
          <w:p w14:paraId="44E330D6" w14:textId="77777777" w:rsidR="00AC2654" w:rsidRPr="00AC2654" w:rsidRDefault="00AC2654" w:rsidP="00FA40E2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D122A5">
              <w:rPr>
                <w:rFonts w:ascii="Arial Narrow" w:hAnsi="Arial Narrow"/>
              </w:rPr>
              <w:t xml:space="preserve">Actualmente, </w:t>
            </w:r>
            <w:r w:rsidRPr="00AC2654">
              <w:rPr>
                <w:rFonts w:ascii="Arial Narrow" w:hAnsi="Arial Narrow"/>
              </w:rPr>
              <w:t xml:space="preserve">5 hospitales </w:t>
            </w:r>
            <w:r>
              <w:rPr>
                <w:rFonts w:ascii="Arial Narrow" w:hAnsi="Arial Narrow"/>
              </w:rPr>
              <w:t xml:space="preserve">están </w:t>
            </w:r>
            <w:r w:rsidRPr="00AC2654">
              <w:rPr>
                <w:rFonts w:ascii="Arial Narrow" w:hAnsi="Arial Narrow"/>
              </w:rPr>
              <w:t xml:space="preserve">dedicados a atender </w:t>
            </w:r>
            <w:r>
              <w:rPr>
                <w:rFonts w:ascii="Arial Narrow" w:hAnsi="Arial Narrow"/>
              </w:rPr>
              <w:t>enfermos de COVID-19.</w:t>
            </w:r>
          </w:p>
          <w:p w14:paraId="5AD54A6C" w14:textId="0981CD19" w:rsidR="00D122A5" w:rsidRDefault="00AC2654" w:rsidP="00FA40E2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Anunció que la p</w:t>
            </w:r>
            <w:r w:rsidRPr="00AC2654">
              <w:rPr>
                <w:rFonts w:ascii="Arial Narrow" w:hAnsi="Arial Narrow"/>
              </w:rPr>
              <w:t xml:space="preserve">róxima semana </w:t>
            </w:r>
            <w:r>
              <w:rPr>
                <w:rFonts w:ascii="Arial Narrow" w:hAnsi="Arial Narrow"/>
              </w:rPr>
              <w:t xml:space="preserve">funcionarán </w:t>
            </w:r>
            <w:r w:rsidR="00D122A5">
              <w:rPr>
                <w:rFonts w:ascii="Arial Narrow" w:hAnsi="Arial Narrow"/>
              </w:rPr>
              <w:t>4</w:t>
            </w:r>
            <w:r w:rsidRPr="00AC2654">
              <w:rPr>
                <w:rFonts w:ascii="Arial Narrow" w:hAnsi="Arial Narrow"/>
              </w:rPr>
              <w:t xml:space="preserve"> hospitales </w:t>
            </w:r>
            <w:r>
              <w:rPr>
                <w:rFonts w:ascii="Arial Narrow" w:hAnsi="Arial Narrow"/>
              </w:rPr>
              <w:t>m</w:t>
            </w:r>
            <w:r w:rsidR="00D122A5">
              <w:rPr>
                <w:rFonts w:ascii="Arial Narrow" w:hAnsi="Arial Narrow"/>
              </w:rPr>
              <w:t xml:space="preserve">ás, con </w:t>
            </w:r>
            <w:r w:rsidR="007670C2">
              <w:rPr>
                <w:rFonts w:ascii="Arial Narrow" w:hAnsi="Arial Narrow"/>
              </w:rPr>
              <w:t>130 camas adicionales con ventiladores</w:t>
            </w:r>
            <w:r>
              <w:rPr>
                <w:rFonts w:ascii="Arial Narrow" w:hAnsi="Arial Narrow"/>
              </w:rPr>
              <w:t>.</w:t>
            </w:r>
            <w:r w:rsidR="00D122A5">
              <w:rPr>
                <w:rFonts w:ascii="Arial Narrow" w:hAnsi="Arial Narrow"/>
              </w:rPr>
              <w:t xml:space="preserve"> Esto significará que</w:t>
            </w:r>
            <w:r w:rsidR="00E574F9">
              <w:rPr>
                <w:rFonts w:ascii="Arial Narrow" w:hAnsi="Arial Narrow"/>
              </w:rPr>
              <w:t xml:space="preserve">, </w:t>
            </w:r>
            <w:r w:rsidR="00D122A5">
              <w:rPr>
                <w:rFonts w:ascii="Arial Narrow" w:hAnsi="Arial Narrow"/>
              </w:rPr>
              <w:t>en total</w:t>
            </w:r>
            <w:r w:rsidR="00E574F9">
              <w:rPr>
                <w:rFonts w:ascii="Arial Narrow" w:hAnsi="Arial Narrow"/>
              </w:rPr>
              <w:t>,</w:t>
            </w:r>
            <w:r w:rsidR="00D122A5">
              <w:rPr>
                <w:rFonts w:ascii="Arial Narrow" w:hAnsi="Arial Narrow"/>
              </w:rPr>
              <w:t xml:space="preserve"> funcionarán 9 hospitales </w:t>
            </w:r>
            <w:r w:rsidR="00D122A5" w:rsidRPr="00AC2654">
              <w:rPr>
                <w:rFonts w:ascii="Arial Narrow" w:hAnsi="Arial Narrow"/>
              </w:rPr>
              <w:t xml:space="preserve">dedicados a atender </w:t>
            </w:r>
            <w:r w:rsidR="00D122A5">
              <w:rPr>
                <w:rFonts w:ascii="Arial Narrow" w:hAnsi="Arial Narrow"/>
              </w:rPr>
              <w:t>enfermos de COVID-19.</w:t>
            </w:r>
          </w:p>
          <w:p w14:paraId="4394F26B" w14:textId="4200DAE9" w:rsidR="007176C8" w:rsidRDefault="00E574F9" w:rsidP="00FA40E2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AC2654">
              <w:rPr>
                <w:rFonts w:ascii="Arial Narrow" w:hAnsi="Arial Narrow"/>
              </w:rPr>
              <w:t>ijo que</w:t>
            </w:r>
            <w:r>
              <w:rPr>
                <w:rFonts w:ascii="Arial Narrow" w:hAnsi="Arial Narrow"/>
              </w:rPr>
              <w:t>,</w:t>
            </w:r>
            <w:r w:rsidR="00AC2654">
              <w:rPr>
                <w:rFonts w:ascii="Arial Narrow" w:hAnsi="Arial Narrow"/>
              </w:rPr>
              <w:t xml:space="preserve"> en caso de ser necesario</w:t>
            </w:r>
            <w:r>
              <w:rPr>
                <w:rFonts w:ascii="Arial Narrow" w:hAnsi="Arial Narrow"/>
              </w:rPr>
              <w:t>,</w:t>
            </w:r>
            <w:r w:rsidR="00AC2654">
              <w:rPr>
                <w:rFonts w:ascii="Arial Narrow" w:hAnsi="Arial Narrow"/>
              </w:rPr>
              <w:t xml:space="preserve"> e</w:t>
            </w:r>
            <w:r w:rsidR="00AC2654" w:rsidRPr="00AC2654">
              <w:rPr>
                <w:rFonts w:ascii="Arial Narrow" w:hAnsi="Arial Narrow"/>
              </w:rPr>
              <w:t>ntrará</w:t>
            </w:r>
            <w:r w:rsidR="00AC2654">
              <w:rPr>
                <w:rFonts w:ascii="Arial Narrow" w:hAnsi="Arial Narrow"/>
              </w:rPr>
              <w:t>n el P</w:t>
            </w:r>
            <w:r w:rsidR="00AC2654" w:rsidRPr="00AC2654">
              <w:rPr>
                <w:rFonts w:ascii="Arial Narrow" w:hAnsi="Arial Narrow"/>
              </w:rPr>
              <w:t>lan DN</w:t>
            </w:r>
            <w:r>
              <w:rPr>
                <w:rFonts w:ascii="Arial Narrow" w:hAnsi="Arial Narrow"/>
              </w:rPr>
              <w:t>-</w:t>
            </w:r>
            <w:r w:rsidR="00AC2654" w:rsidRPr="00AC2654">
              <w:rPr>
                <w:rFonts w:ascii="Arial Narrow" w:hAnsi="Arial Narrow"/>
              </w:rPr>
              <w:t>III y Plan Marina</w:t>
            </w:r>
            <w:r w:rsidR="00AC2654">
              <w:rPr>
                <w:rFonts w:ascii="Arial Narrow" w:hAnsi="Arial Narrow"/>
              </w:rPr>
              <w:t>, para apoyar a las autoridades capitalinas.</w:t>
            </w:r>
          </w:p>
          <w:p w14:paraId="4424BCE6" w14:textId="77777777" w:rsidR="00A92129" w:rsidRPr="001E0AAA" w:rsidRDefault="00A92129" w:rsidP="00FA40E2">
            <w:pPr>
              <w:pStyle w:val="Prrafodelista"/>
              <w:numPr>
                <w:ilvl w:val="0"/>
                <w:numId w:val="1"/>
              </w:numPr>
              <w:spacing w:after="120" w:line="276" w:lineRule="auto"/>
              <w:jc w:val="both"/>
              <w:rPr>
                <w:u w:val="single"/>
              </w:rPr>
            </w:pPr>
            <w:r>
              <w:rPr>
                <w:rFonts w:ascii="Arial Narrow" w:hAnsi="Arial Narrow"/>
                <w:bCs/>
                <w:color w:val="14171A"/>
                <w:u w:val="single"/>
              </w:rPr>
              <w:t>Tema: ¿A qué hospital puede acudir la ciudadanía?</w:t>
            </w:r>
          </w:p>
          <w:p w14:paraId="506FAF13" w14:textId="5446DA61" w:rsidR="00F505C0" w:rsidRPr="00E574F9" w:rsidRDefault="007176C8" w:rsidP="00FA40E2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A92129">
              <w:rPr>
                <w:rFonts w:ascii="Arial Narrow" w:hAnsi="Arial Narrow"/>
              </w:rPr>
              <w:t xml:space="preserve">La </w:t>
            </w:r>
            <w:r w:rsidR="00E574F9">
              <w:rPr>
                <w:rFonts w:ascii="Arial Narrow" w:hAnsi="Arial Narrow"/>
              </w:rPr>
              <w:t>J</w:t>
            </w:r>
            <w:r w:rsidR="00A92129">
              <w:rPr>
                <w:rFonts w:ascii="Arial Narrow" w:hAnsi="Arial Narrow"/>
              </w:rPr>
              <w:t xml:space="preserve">efa de Gobierno </w:t>
            </w:r>
            <w:r w:rsidR="00E574F9">
              <w:rPr>
                <w:rFonts w:ascii="Arial Narrow" w:hAnsi="Arial Narrow"/>
              </w:rPr>
              <w:t xml:space="preserve">también </w:t>
            </w:r>
            <w:r w:rsidR="00F505C0">
              <w:rPr>
                <w:rFonts w:ascii="Arial Narrow" w:hAnsi="Arial Narrow"/>
              </w:rPr>
              <w:t>indicó que</w:t>
            </w:r>
            <w:r w:rsidR="00E574F9">
              <w:rPr>
                <w:rFonts w:ascii="Arial Narrow" w:hAnsi="Arial Narrow"/>
              </w:rPr>
              <w:t>,</w:t>
            </w:r>
            <w:r w:rsidR="00F505C0">
              <w:rPr>
                <w:rFonts w:ascii="Arial Narrow" w:hAnsi="Arial Narrow"/>
              </w:rPr>
              <w:t xml:space="preserve"> hasta el 30 de abril en la noche había 1,960 personas hospitalizadas. Dijo que si no se hubieran tomado las medidas adecuadas se tendría cuatro veces </w:t>
            </w:r>
            <w:r w:rsidR="00F505C0" w:rsidRPr="00E574F9">
              <w:rPr>
                <w:rFonts w:ascii="Arial Narrow" w:hAnsi="Arial Narrow"/>
              </w:rPr>
              <w:t>más el número de contagios.</w:t>
            </w:r>
          </w:p>
          <w:p w14:paraId="679C5ED7" w14:textId="77777777" w:rsidR="00AC2654" w:rsidRPr="00E574F9" w:rsidRDefault="00F505C0" w:rsidP="00FA40E2">
            <w:pPr>
              <w:spacing w:after="120"/>
              <w:rPr>
                <w:rFonts w:ascii="Arial Narrow" w:hAnsi="Arial Narrow"/>
              </w:rPr>
            </w:pPr>
            <w:r w:rsidRPr="00E574F9">
              <w:rPr>
                <w:rFonts w:ascii="Arial Narrow" w:hAnsi="Arial Narrow"/>
              </w:rPr>
              <w:t xml:space="preserve">- </w:t>
            </w:r>
            <w:r w:rsidR="007176C8" w:rsidRPr="00E574F9">
              <w:rPr>
                <w:rFonts w:ascii="Arial Narrow" w:hAnsi="Arial Narrow"/>
              </w:rPr>
              <w:t xml:space="preserve">Recordó que para ubicar los hospitales a los que puede acudir una persona enferma de COVID-19se puede llamar a </w:t>
            </w:r>
            <w:proofErr w:type="spellStart"/>
            <w:r w:rsidR="007176C8" w:rsidRPr="00E574F9">
              <w:rPr>
                <w:rFonts w:ascii="Arial Narrow" w:hAnsi="Arial Narrow"/>
              </w:rPr>
              <w:t>Locatel</w:t>
            </w:r>
            <w:proofErr w:type="spellEnd"/>
            <w:r w:rsidR="007176C8" w:rsidRPr="00E574F9">
              <w:rPr>
                <w:rFonts w:ascii="Arial Narrow" w:hAnsi="Arial Narrow"/>
              </w:rPr>
              <w:t xml:space="preserve"> al 56581111 o a la siguiente página web: </w:t>
            </w:r>
            <w:hyperlink r:id="rId10" w:history="1">
              <w:r w:rsidR="007176C8" w:rsidRPr="00E574F9">
                <w:rPr>
                  <w:rStyle w:val="Hipervnculo"/>
                  <w:rFonts w:ascii="Arial Narrow" w:hAnsi="Arial Narrow"/>
                </w:rPr>
                <w:t>https://hospitales.covid19.cdmx.gob.mx/public/hospitales/EstatusHospitales.xhtml</w:t>
              </w:r>
            </w:hyperlink>
          </w:p>
          <w:p w14:paraId="74EF505E" w14:textId="77777777" w:rsidR="00D05275" w:rsidRPr="001E0AAA" w:rsidRDefault="00D05275" w:rsidP="00FA40E2">
            <w:pPr>
              <w:pStyle w:val="Prrafodelista"/>
              <w:numPr>
                <w:ilvl w:val="0"/>
                <w:numId w:val="1"/>
              </w:numPr>
              <w:spacing w:after="120" w:line="276" w:lineRule="auto"/>
              <w:jc w:val="both"/>
              <w:rPr>
                <w:u w:val="single"/>
              </w:rPr>
            </w:pPr>
            <w:r>
              <w:rPr>
                <w:rFonts w:ascii="Arial Narrow" w:hAnsi="Arial Narrow"/>
                <w:bCs/>
                <w:color w:val="14171A"/>
                <w:u w:val="single"/>
              </w:rPr>
              <w:t>Tema: IMSS atenderá no derechohabientes en CDMX</w:t>
            </w:r>
          </w:p>
          <w:p w14:paraId="1BEB266E" w14:textId="357AA6EE" w:rsidR="00A13A15" w:rsidRPr="00E331D4" w:rsidRDefault="00D05275" w:rsidP="00FA40E2">
            <w:pPr>
              <w:spacing w:after="120"/>
              <w:jc w:val="both"/>
              <w:rPr>
                <w:rFonts w:ascii="Arial Narrow" w:hAnsi="Arial Narrow"/>
                <w:bCs/>
                <w:color w:val="14171A"/>
              </w:rPr>
            </w:pPr>
            <w:r>
              <w:rPr>
                <w:rFonts w:ascii="Arial Narrow" w:hAnsi="Arial Narrow"/>
              </w:rPr>
              <w:t xml:space="preserve">El </w:t>
            </w:r>
            <w:r w:rsidR="00E574F9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irector </w:t>
            </w:r>
            <w:r w:rsidR="00E574F9">
              <w:rPr>
                <w:rFonts w:ascii="Arial Narrow" w:hAnsi="Arial Narrow"/>
              </w:rPr>
              <w:t>G</w:t>
            </w:r>
            <w:r>
              <w:rPr>
                <w:rFonts w:ascii="Arial Narrow" w:hAnsi="Arial Narrow"/>
              </w:rPr>
              <w:t xml:space="preserve">eneral del IMSS, </w:t>
            </w:r>
            <w:r w:rsidRPr="00D05275">
              <w:rPr>
                <w:rFonts w:ascii="Arial Narrow" w:hAnsi="Arial Narrow"/>
              </w:rPr>
              <w:t>Zoé Robledo</w:t>
            </w:r>
            <w:r>
              <w:rPr>
                <w:rFonts w:ascii="Arial Narrow" w:hAnsi="Arial Narrow"/>
              </w:rPr>
              <w:t xml:space="preserve">, </w:t>
            </w:r>
            <w:r w:rsidRPr="00D05275">
              <w:rPr>
                <w:rFonts w:ascii="Arial Narrow" w:hAnsi="Arial Narrow"/>
              </w:rPr>
              <w:t>ex</w:t>
            </w:r>
            <w:r>
              <w:rPr>
                <w:rFonts w:ascii="Arial Narrow" w:hAnsi="Arial Narrow"/>
              </w:rPr>
              <w:t xml:space="preserve">plicó que </w:t>
            </w:r>
            <w:r w:rsidRPr="00D05275">
              <w:rPr>
                <w:rFonts w:ascii="Arial Narrow" w:hAnsi="Arial Narrow"/>
              </w:rPr>
              <w:t>el IMSS</w:t>
            </w:r>
            <w:r>
              <w:rPr>
                <w:rFonts w:ascii="Arial Narrow" w:hAnsi="Arial Narrow"/>
              </w:rPr>
              <w:t xml:space="preserve"> </w:t>
            </w:r>
            <w:r w:rsidR="00E574F9">
              <w:rPr>
                <w:rFonts w:ascii="Arial Narrow" w:hAnsi="Arial Narrow"/>
              </w:rPr>
              <w:t xml:space="preserve">en la CDMX </w:t>
            </w:r>
            <w:r>
              <w:rPr>
                <w:rFonts w:ascii="Arial Narrow" w:hAnsi="Arial Narrow"/>
              </w:rPr>
              <w:t>atender</w:t>
            </w:r>
            <w:r w:rsidR="00D71DE1">
              <w:rPr>
                <w:rFonts w:ascii="Arial Narrow" w:hAnsi="Arial Narrow"/>
              </w:rPr>
              <w:t xml:space="preserve">á </w:t>
            </w:r>
            <w:r w:rsidRPr="00D05275">
              <w:rPr>
                <w:rFonts w:ascii="Arial Narrow" w:hAnsi="Arial Narrow"/>
              </w:rPr>
              <w:t xml:space="preserve">a pacientes </w:t>
            </w:r>
            <w:r w:rsidR="00E574F9">
              <w:rPr>
                <w:rFonts w:ascii="Arial Narrow" w:hAnsi="Arial Narrow"/>
              </w:rPr>
              <w:t>de COVID-19 aun</w:t>
            </w:r>
            <w:r w:rsidRPr="00D05275">
              <w:rPr>
                <w:rFonts w:ascii="Arial Narrow" w:hAnsi="Arial Narrow"/>
              </w:rPr>
              <w:t>que no sean derechohabientes</w:t>
            </w:r>
            <w:r w:rsidR="00E574F9">
              <w:rPr>
                <w:rFonts w:ascii="Arial Narrow" w:hAnsi="Arial Narrow"/>
              </w:rPr>
              <w:t>.</w:t>
            </w:r>
            <w:r w:rsidRPr="00D05275">
              <w:rPr>
                <w:rFonts w:ascii="Arial Narrow" w:hAnsi="Arial Narrow"/>
              </w:rPr>
              <w:t xml:space="preserve"> </w:t>
            </w:r>
          </w:p>
        </w:tc>
      </w:tr>
      <w:tr w:rsidR="00A13A15" w:rsidRPr="001E0AAA" w14:paraId="1722A596" w14:textId="77777777" w:rsidTr="008E2AE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856E" w14:textId="77777777" w:rsidR="00A13A15" w:rsidRPr="001E0AAA" w:rsidRDefault="00A13A15" w:rsidP="008E2AE9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Particip</w:t>
            </w:r>
            <w:r>
              <w:rPr>
                <w:rFonts w:ascii="Arial Narrow" w:eastAsia="Arial" w:hAnsi="Arial Narrow" w:cs="Arial"/>
                <w:b/>
              </w:rPr>
              <w:t>aron</w:t>
            </w:r>
            <w:r w:rsidRPr="001E0AAA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9B8F" w14:textId="77777777" w:rsidR="00A13A15" w:rsidRPr="001E0AAA" w:rsidRDefault="00A13A15" w:rsidP="00FA40E2">
            <w:pPr>
              <w:pStyle w:val="Prrafodelista"/>
              <w:numPr>
                <w:ilvl w:val="0"/>
                <w:numId w:val="2"/>
              </w:numPr>
              <w:spacing w:after="120" w:line="276" w:lineRule="auto"/>
            </w:pPr>
            <w:r w:rsidRPr="00A13A15">
              <w:rPr>
                <w:rFonts w:ascii="Arial Narrow" w:hAnsi="Arial Narrow"/>
                <w:bCs/>
                <w:color w:val="14171A"/>
                <w:lang w:val="en-US"/>
              </w:rPr>
              <w:t>Dr. Hugo López-</w:t>
            </w:r>
            <w:proofErr w:type="spellStart"/>
            <w:r w:rsidRPr="00A13A15">
              <w:rPr>
                <w:rFonts w:ascii="Arial Narrow" w:hAnsi="Arial Narrow"/>
                <w:bCs/>
                <w:color w:val="14171A"/>
                <w:lang w:val="en-US"/>
              </w:rPr>
              <w:t>Gatell</w:t>
            </w:r>
            <w:proofErr w:type="spellEnd"/>
            <w:r w:rsidRPr="00A13A15">
              <w:rPr>
                <w:rFonts w:ascii="Arial Narrow" w:hAnsi="Arial Narrow"/>
                <w:bCs/>
                <w:color w:val="14171A"/>
                <w:lang w:val="en-US"/>
              </w:rPr>
              <w:t xml:space="preserve"> Ramírez. </w:t>
            </w:r>
            <w:r w:rsidRPr="001E0AAA">
              <w:rPr>
                <w:rFonts w:ascii="Arial Narrow" w:hAnsi="Arial Narrow"/>
                <w:bCs/>
                <w:color w:val="14171A"/>
              </w:rPr>
              <w:t>Subsecretario de Prevención y Promoción de la Salud de la Secretaría de Salud.</w:t>
            </w:r>
          </w:p>
          <w:p w14:paraId="769DAB8A" w14:textId="77777777" w:rsidR="00A13A15" w:rsidRDefault="00A13A15" w:rsidP="00FA40E2">
            <w:pPr>
              <w:pStyle w:val="Prrafodelista"/>
              <w:numPr>
                <w:ilvl w:val="0"/>
                <w:numId w:val="2"/>
              </w:numPr>
              <w:spacing w:after="120" w:line="276" w:lineRule="auto"/>
              <w:rPr>
                <w:rFonts w:ascii="Arial Narrow" w:hAnsi="Arial Narrow"/>
                <w:bCs/>
                <w:color w:val="14171A"/>
              </w:rPr>
            </w:pPr>
            <w:r w:rsidRPr="00110B3E">
              <w:rPr>
                <w:rFonts w:ascii="Arial Narrow" w:hAnsi="Arial Narrow"/>
                <w:bCs/>
                <w:color w:val="14171A"/>
              </w:rPr>
              <w:t xml:space="preserve">Dr. José Luis </w:t>
            </w:r>
            <w:proofErr w:type="spellStart"/>
            <w:r w:rsidRPr="00110B3E">
              <w:rPr>
                <w:rFonts w:ascii="Arial Narrow" w:hAnsi="Arial Narrow"/>
                <w:bCs/>
                <w:color w:val="14171A"/>
              </w:rPr>
              <w:t>Alomía</w:t>
            </w:r>
            <w:proofErr w:type="spellEnd"/>
            <w:r w:rsidRPr="00110B3E">
              <w:rPr>
                <w:rFonts w:ascii="Arial Narrow" w:hAnsi="Arial Narrow"/>
                <w:bCs/>
                <w:color w:val="14171A"/>
              </w:rPr>
              <w:t xml:space="preserve">, Director General de Epidemiología de la Secretaría de Salud. </w:t>
            </w:r>
          </w:p>
          <w:p w14:paraId="19CAD13C" w14:textId="12644E92" w:rsidR="00A13A15" w:rsidRPr="00035DDF" w:rsidRDefault="00E146E4" w:rsidP="00FA40E2">
            <w:pPr>
              <w:pStyle w:val="Prrafodelista"/>
              <w:numPr>
                <w:ilvl w:val="0"/>
                <w:numId w:val="2"/>
              </w:numPr>
              <w:spacing w:after="120" w:line="276" w:lineRule="auto"/>
            </w:pPr>
            <w:r w:rsidRPr="00476F92">
              <w:rPr>
                <w:rFonts w:ascii="Arial Narrow" w:hAnsi="Arial Narrow"/>
              </w:rPr>
              <w:t>Claudia Sheinbaum</w:t>
            </w:r>
            <w:r>
              <w:rPr>
                <w:rFonts w:ascii="Arial Narrow" w:hAnsi="Arial Narrow"/>
              </w:rPr>
              <w:t xml:space="preserve">, Jefa de </w:t>
            </w:r>
            <w:r w:rsidR="00E574F9">
              <w:rPr>
                <w:rFonts w:ascii="Arial Narrow" w:hAnsi="Arial Narrow"/>
              </w:rPr>
              <w:t>G</w:t>
            </w:r>
            <w:r>
              <w:rPr>
                <w:rFonts w:ascii="Arial Narrow" w:hAnsi="Arial Narrow"/>
              </w:rPr>
              <w:t>obierno de la CDMX</w:t>
            </w:r>
            <w:r w:rsidR="00035DDF">
              <w:rPr>
                <w:rFonts w:ascii="Arial Narrow" w:hAnsi="Arial Narrow"/>
              </w:rPr>
              <w:t>.</w:t>
            </w:r>
          </w:p>
          <w:p w14:paraId="14C9A744" w14:textId="3E0F29BF" w:rsidR="00035DDF" w:rsidRPr="00035DDF" w:rsidRDefault="00035DDF" w:rsidP="00FA40E2">
            <w:pPr>
              <w:pStyle w:val="Prrafodelista"/>
              <w:numPr>
                <w:ilvl w:val="0"/>
                <w:numId w:val="2"/>
              </w:numPr>
              <w:spacing w:after="120" w:line="276" w:lineRule="auto"/>
              <w:rPr>
                <w:rFonts w:ascii="Arial Narrow" w:hAnsi="Arial Narrow"/>
                <w:bCs/>
                <w:color w:val="14171A"/>
              </w:rPr>
            </w:pPr>
            <w:r>
              <w:rPr>
                <w:rFonts w:ascii="Arial Narrow" w:hAnsi="Arial Narrow"/>
              </w:rPr>
              <w:t>Zoé</w:t>
            </w:r>
            <w:r w:rsidRPr="00476F92">
              <w:rPr>
                <w:rFonts w:ascii="Arial Narrow" w:hAnsi="Arial Narrow"/>
              </w:rPr>
              <w:t xml:space="preserve"> Robledo</w:t>
            </w:r>
            <w:r>
              <w:rPr>
                <w:rFonts w:ascii="Arial Narrow" w:hAnsi="Arial Narrow"/>
              </w:rPr>
              <w:t xml:space="preserve">, </w:t>
            </w:r>
            <w:r w:rsidR="00E574F9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irector </w:t>
            </w:r>
            <w:r w:rsidR="00E574F9">
              <w:rPr>
                <w:rFonts w:ascii="Arial Narrow" w:hAnsi="Arial Narrow"/>
              </w:rPr>
              <w:t>G</w:t>
            </w:r>
            <w:r>
              <w:rPr>
                <w:rFonts w:ascii="Arial Narrow" w:hAnsi="Arial Narrow"/>
              </w:rPr>
              <w:t>eneral del IMSS.</w:t>
            </w:r>
          </w:p>
        </w:tc>
      </w:tr>
    </w:tbl>
    <w:p w14:paraId="38346F9E" w14:textId="512CBCD5" w:rsidR="009C09ED" w:rsidRPr="00FA40E2" w:rsidRDefault="009C09ED" w:rsidP="00FA40E2">
      <w:pPr>
        <w:spacing w:after="0"/>
        <w:rPr>
          <w:sz w:val="16"/>
          <w:szCs w:val="16"/>
        </w:rPr>
      </w:pPr>
    </w:p>
    <w:sectPr w:rsidR="009C09ED" w:rsidRPr="00FA40E2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A3742" w14:textId="77777777" w:rsidR="00617DEC" w:rsidRDefault="00617DEC">
      <w:pPr>
        <w:spacing w:after="0" w:line="240" w:lineRule="auto"/>
      </w:pPr>
      <w:r>
        <w:separator/>
      </w:r>
    </w:p>
  </w:endnote>
  <w:endnote w:type="continuationSeparator" w:id="0">
    <w:p w14:paraId="4643EA16" w14:textId="77777777" w:rsidR="00617DEC" w:rsidRDefault="0061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6B40" w14:textId="77777777" w:rsidR="00391108" w:rsidRDefault="00035DDF">
    <w:pPr>
      <w:tabs>
        <w:tab w:val="center" w:pos="4419"/>
        <w:tab w:val="right" w:pos="8838"/>
      </w:tabs>
      <w:spacing w:after="0" w:line="240" w:lineRule="auto"/>
      <w:jc w:val="right"/>
    </w:pPr>
    <w:r>
      <w:rPr>
        <w:sz w:val="16"/>
        <w:szCs w:val="16"/>
      </w:rPr>
      <w:t>DMH/DEAEE</w:t>
    </w:r>
  </w:p>
  <w:p w14:paraId="407A7DA5" w14:textId="0CF23C55" w:rsidR="00391108" w:rsidRDefault="00035DDF">
    <w:pPr>
      <w:tabs>
        <w:tab w:val="center" w:pos="4419"/>
        <w:tab w:val="right" w:pos="8838"/>
      </w:tabs>
      <w:spacing w:after="0" w:line="240" w:lineRule="auto"/>
      <w:jc w:val="right"/>
    </w:pPr>
    <w:r>
      <w:rPr>
        <w:sz w:val="16"/>
        <w:szCs w:val="16"/>
      </w:rPr>
      <w:t>20200</w:t>
    </w:r>
    <w:r w:rsidR="00E574F9">
      <w:rPr>
        <w:sz w:val="16"/>
        <w:szCs w:val="16"/>
      </w:rPr>
      <w:t>50</w:t>
    </w:r>
    <w:r>
      <w:rPr>
        <w:sz w:val="16"/>
        <w:szCs w:val="16"/>
      </w:rPr>
      <w:t>1_V1</w:t>
    </w:r>
  </w:p>
  <w:p w14:paraId="36330579" w14:textId="77777777" w:rsidR="00391108" w:rsidRDefault="00035DDF">
    <w:pPr>
      <w:tabs>
        <w:tab w:val="center" w:pos="4419"/>
        <w:tab w:val="right" w:pos="8838"/>
      </w:tabs>
      <w:spacing w:after="0" w:line="240" w:lineRule="auto"/>
      <w:jc w:val="center"/>
    </w:pPr>
    <w:r>
      <w:rPr>
        <w:smallCaps/>
      </w:rPr>
      <w:fldChar w:fldCharType="begin"/>
    </w:r>
    <w:r>
      <w:rPr>
        <w:smallCaps/>
      </w:rPr>
      <w:instrText>PAGE</w:instrText>
    </w:r>
    <w:r>
      <w:rPr>
        <w:smallCaps/>
      </w:rPr>
      <w:fldChar w:fldCharType="separate"/>
    </w:r>
    <w:r>
      <w:rPr>
        <w:smallCaps/>
        <w:noProof/>
      </w:rPr>
      <w:t>4</w:t>
    </w:r>
    <w:r>
      <w:rPr>
        <w:smallCaps/>
      </w:rPr>
      <w:fldChar w:fldCharType="end"/>
    </w:r>
  </w:p>
  <w:p w14:paraId="5E65C753" w14:textId="77777777" w:rsidR="00391108" w:rsidRDefault="00035DDF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0288" behindDoc="1" locked="0" layoutInCell="1" allowOverlap="1" wp14:anchorId="5F3CD5A6" wp14:editId="3BDD19F2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16" b="23875"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656C7" w14:textId="77777777" w:rsidR="00617DEC" w:rsidRDefault="00617DEC">
      <w:pPr>
        <w:spacing w:after="0" w:line="240" w:lineRule="auto"/>
      </w:pPr>
      <w:r>
        <w:separator/>
      </w:r>
    </w:p>
  </w:footnote>
  <w:footnote w:type="continuationSeparator" w:id="0">
    <w:p w14:paraId="562DADB8" w14:textId="77777777" w:rsidR="00617DEC" w:rsidRDefault="0061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9B73D" w14:textId="77777777" w:rsidR="00391108" w:rsidRDefault="00035DDF">
    <w:pPr>
      <w:spacing w:before="120" w:after="0" w:line="240" w:lineRule="auto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val="es-MX"/>
      </w:rPr>
      <w:drawing>
        <wp:anchor distT="0" distB="0" distL="114300" distR="118745" simplePos="0" relativeHeight="251659264" behindDoc="1" locked="0" layoutInCell="1" allowOverlap="1" wp14:anchorId="218ABCC9" wp14:editId="627936EC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04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61977FE4" w14:textId="77777777" w:rsidR="00391108" w:rsidRDefault="00035DDF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0C123AC7" w14:textId="77777777" w:rsidR="00391108" w:rsidRDefault="00617DEC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76C8D"/>
    <w:multiLevelType w:val="hybridMultilevel"/>
    <w:tmpl w:val="BD282C36"/>
    <w:lvl w:ilvl="0" w:tplc="12D848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E61F8"/>
    <w:multiLevelType w:val="multilevel"/>
    <w:tmpl w:val="662C1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F1150A"/>
    <w:multiLevelType w:val="hybridMultilevel"/>
    <w:tmpl w:val="5F709FD0"/>
    <w:lvl w:ilvl="0" w:tplc="475C14F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474F9"/>
    <w:multiLevelType w:val="multilevel"/>
    <w:tmpl w:val="B0EC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15"/>
    <w:rsid w:val="00035DDF"/>
    <w:rsid w:val="00041817"/>
    <w:rsid w:val="001861C8"/>
    <w:rsid w:val="004F5B88"/>
    <w:rsid w:val="00617DEC"/>
    <w:rsid w:val="007176C8"/>
    <w:rsid w:val="007670C2"/>
    <w:rsid w:val="008C214E"/>
    <w:rsid w:val="00945BFD"/>
    <w:rsid w:val="009C09ED"/>
    <w:rsid w:val="009D24D2"/>
    <w:rsid w:val="00A13A15"/>
    <w:rsid w:val="00A92129"/>
    <w:rsid w:val="00AA193F"/>
    <w:rsid w:val="00AC2654"/>
    <w:rsid w:val="00BC45B7"/>
    <w:rsid w:val="00C87E6B"/>
    <w:rsid w:val="00D05275"/>
    <w:rsid w:val="00D122A5"/>
    <w:rsid w:val="00D71DE1"/>
    <w:rsid w:val="00E146E4"/>
    <w:rsid w:val="00E574F9"/>
    <w:rsid w:val="00E741B5"/>
    <w:rsid w:val="00F505C0"/>
    <w:rsid w:val="00FA40E2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8FAD"/>
  <w15:chartTrackingRefBased/>
  <w15:docId w15:val="{9FE4E0EA-B6B9-4379-9AE0-A733951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15"/>
    <w:rPr>
      <w:rFonts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A13A15"/>
    <w:rPr>
      <w:lang w:val="es-ES_tradnl"/>
    </w:rPr>
  </w:style>
  <w:style w:type="paragraph" w:styleId="Encabezado">
    <w:name w:val="header"/>
    <w:basedOn w:val="Normal"/>
    <w:link w:val="EncabezadoCar"/>
    <w:unhideWhenUsed/>
    <w:rsid w:val="00A13A15"/>
    <w:pPr>
      <w:tabs>
        <w:tab w:val="center" w:pos="4419"/>
        <w:tab w:val="right" w:pos="8838"/>
      </w:tabs>
      <w:spacing w:after="0" w:line="240" w:lineRule="auto"/>
    </w:pPr>
    <w:rPr>
      <w:rFonts w:cstheme="minorBidi"/>
      <w:lang w:val="es-ES_tradnl" w:eastAsia="en-US"/>
    </w:rPr>
  </w:style>
  <w:style w:type="character" w:customStyle="1" w:styleId="EncabezadoCar1">
    <w:name w:val="Encabezado Car1"/>
    <w:basedOn w:val="Fuentedeprrafopredeter"/>
    <w:uiPriority w:val="99"/>
    <w:semiHidden/>
    <w:rsid w:val="00A13A15"/>
    <w:rPr>
      <w:rFonts w:cs="Calibri"/>
      <w:lang w:val="es-ES" w:eastAsia="es-MX"/>
    </w:rPr>
  </w:style>
  <w:style w:type="paragraph" w:styleId="Prrafodelista">
    <w:name w:val="List Paragraph"/>
    <w:basedOn w:val="Normal"/>
    <w:uiPriority w:val="34"/>
    <w:qFormat/>
    <w:rsid w:val="00A13A1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176C8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574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4F9"/>
    <w:rPr>
      <w:rFonts w:cs="Calibri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ospitales.covid19.cdmx.gob.mx/public/hospitales/EstatusHospitales.x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Sonia Quintana Martínez</cp:lastModifiedBy>
  <cp:revision>2</cp:revision>
  <dcterms:created xsi:type="dcterms:W3CDTF">2020-05-02T01:21:00Z</dcterms:created>
  <dcterms:modified xsi:type="dcterms:W3CDTF">2020-05-02T01:21:00Z</dcterms:modified>
</cp:coreProperties>
</file>